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9B" w:rsidRPr="005B3682" w:rsidRDefault="001F329B" w:rsidP="00C45F25">
      <w:pPr>
        <w:pStyle w:val="ConsPlusNormal"/>
        <w:ind w:hanging="284"/>
        <w:rPr>
          <w:rFonts w:ascii="Times New Roman" w:hAnsi="Times New Roman" w:cs="Times New Roman"/>
          <w:sz w:val="24"/>
          <w:szCs w:val="24"/>
        </w:rPr>
      </w:pPr>
      <w:r w:rsidRPr="005B36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6310" cy="763270"/>
            <wp:effectExtent l="19050" t="0" r="2540" b="0"/>
            <wp:docPr id="1" name="Рисунок 1" descr="BRMP - 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RMP - Logo 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86" w:type="dxa"/>
        <w:tblLook w:val="01E0"/>
      </w:tblPr>
      <w:tblGrid>
        <w:gridCol w:w="10486"/>
      </w:tblGrid>
      <w:tr w:rsidR="001F329B" w:rsidRPr="005B3682" w:rsidTr="00AE03BE">
        <w:tc>
          <w:tcPr>
            <w:tcW w:w="10486" w:type="dxa"/>
          </w:tcPr>
          <w:tbl>
            <w:tblPr>
              <w:tblW w:w="10270" w:type="dxa"/>
              <w:tblLook w:val="01E0"/>
            </w:tblPr>
            <w:tblGrid>
              <w:gridCol w:w="6663"/>
              <w:gridCol w:w="3607"/>
            </w:tblGrid>
            <w:tr w:rsidR="001F329B" w:rsidRPr="005B3682" w:rsidTr="00AE03BE">
              <w:tc>
                <w:tcPr>
                  <w:tcW w:w="6663" w:type="dxa"/>
                </w:tcPr>
                <w:p w:rsidR="001F329B" w:rsidRPr="005B3682" w:rsidRDefault="001F329B" w:rsidP="00C45F25">
                  <w:pPr>
                    <w:spacing w:line="240" w:lineRule="auto"/>
                    <w:ind w:left="252"/>
                    <w:rPr>
                      <w:sz w:val="24"/>
                      <w:szCs w:val="24"/>
                    </w:rPr>
                  </w:pPr>
                </w:p>
                <w:p w:rsidR="001F329B" w:rsidRPr="005B3682" w:rsidRDefault="001F329B" w:rsidP="00C45F25">
                  <w:pPr>
                    <w:spacing w:line="240" w:lineRule="auto"/>
                    <w:ind w:left="252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7" w:type="dxa"/>
                </w:tcPr>
                <w:p w:rsidR="001F329B" w:rsidRPr="005B3682" w:rsidRDefault="001F329B" w:rsidP="00C45F25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B3682">
                    <w:rPr>
                      <w:b/>
                      <w:bCs/>
                      <w:sz w:val="24"/>
                      <w:szCs w:val="24"/>
                    </w:rPr>
                    <w:t>УТВЕРЖДАЮ</w:t>
                  </w:r>
                </w:p>
                <w:p w:rsidR="001F329B" w:rsidRPr="005B3682" w:rsidRDefault="001F329B" w:rsidP="00C45F25">
                  <w:pPr>
                    <w:spacing w:line="240" w:lineRule="auto"/>
                    <w:rPr>
                      <w:bCs/>
                      <w:sz w:val="24"/>
                      <w:szCs w:val="24"/>
                    </w:rPr>
                  </w:pPr>
                  <w:r w:rsidRPr="005B3682">
                    <w:rPr>
                      <w:bCs/>
                      <w:sz w:val="24"/>
                      <w:szCs w:val="24"/>
                    </w:rPr>
                    <w:t>Председатель Правления</w:t>
                  </w:r>
                </w:p>
                <w:p w:rsidR="001F329B" w:rsidRPr="005B3682" w:rsidRDefault="001F329B" w:rsidP="00C45F25">
                  <w:pPr>
                    <w:spacing w:line="240" w:lineRule="auto"/>
                    <w:rPr>
                      <w:bCs/>
                      <w:sz w:val="24"/>
                      <w:szCs w:val="24"/>
                    </w:rPr>
                  </w:pPr>
                  <w:r w:rsidRPr="005B3682">
                    <w:rPr>
                      <w:bCs/>
                      <w:sz w:val="24"/>
                      <w:szCs w:val="24"/>
                    </w:rPr>
                    <w:t>Банка РМП (ПАО)</w:t>
                  </w:r>
                </w:p>
                <w:p w:rsidR="001F329B" w:rsidRPr="005B3682" w:rsidRDefault="001F329B" w:rsidP="00C45F25">
                  <w:pPr>
                    <w:spacing w:line="240" w:lineRule="auto"/>
                    <w:rPr>
                      <w:bCs/>
                      <w:sz w:val="24"/>
                      <w:szCs w:val="24"/>
                    </w:rPr>
                  </w:pPr>
                </w:p>
                <w:p w:rsidR="001F329B" w:rsidRPr="005B3682" w:rsidRDefault="001F329B" w:rsidP="00C45F25">
                  <w:pPr>
                    <w:spacing w:line="240" w:lineRule="auto"/>
                    <w:rPr>
                      <w:bCs/>
                      <w:sz w:val="24"/>
                      <w:szCs w:val="24"/>
                    </w:rPr>
                  </w:pPr>
                  <w:r w:rsidRPr="005B3682">
                    <w:rPr>
                      <w:bCs/>
                      <w:sz w:val="24"/>
                      <w:szCs w:val="24"/>
                    </w:rPr>
                    <w:t>_________________ Н.О. Зимина</w:t>
                  </w:r>
                </w:p>
                <w:p w:rsidR="001F329B" w:rsidRPr="005B3682" w:rsidRDefault="001F329B" w:rsidP="00C45F25">
                  <w:pPr>
                    <w:spacing w:line="240" w:lineRule="auto"/>
                    <w:rPr>
                      <w:bCs/>
                      <w:sz w:val="24"/>
                      <w:szCs w:val="24"/>
                    </w:rPr>
                  </w:pPr>
                </w:p>
                <w:p w:rsidR="001F329B" w:rsidRPr="005B3682" w:rsidRDefault="001F329B" w:rsidP="00A3507C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B3682">
                    <w:rPr>
                      <w:bCs/>
                      <w:sz w:val="24"/>
                      <w:szCs w:val="24"/>
                    </w:rPr>
                    <w:t xml:space="preserve">Приказ от </w:t>
                  </w:r>
                  <w:r w:rsidR="00A3507C" w:rsidRPr="005B3682">
                    <w:rPr>
                      <w:bCs/>
                      <w:sz w:val="24"/>
                      <w:szCs w:val="24"/>
                    </w:rPr>
                    <w:t>30</w:t>
                  </w:r>
                  <w:r w:rsidRPr="005B3682">
                    <w:rPr>
                      <w:bCs/>
                      <w:sz w:val="24"/>
                      <w:szCs w:val="24"/>
                    </w:rPr>
                    <w:t xml:space="preserve">.05.2019 № </w:t>
                  </w:r>
                  <w:r w:rsidR="00A3507C" w:rsidRPr="005B3682">
                    <w:rPr>
                      <w:bCs/>
                      <w:sz w:val="24"/>
                      <w:szCs w:val="24"/>
                    </w:rPr>
                    <w:t>109</w:t>
                  </w:r>
                  <w:r w:rsidRPr="005B3682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F329B" w:rsidRPr="005B3682" w:rsidRDefault="001F329B" w:rsidP="00C45F25">
            <w:pPr>
              <w:spacing w:line="240" w:lineRule="auto"/>
              <w:ind w:left="317" w:right="-220"/>
              <w:rPr>
                <w:b/>
                <w:sz w:val="24"/>
                <w:szCs w:val="24"/>
              </w:rPr>
            </w:pPr>
          </w:p>
        </w:tc>
      </w:tr>
    </w:tbl>
    <w:p w:rsidR="001F329B" w:rsidRPr="005B3682" w:rsidRDefault="001F329B" w:rsidP="00C45F25">
      <w:pPr>
        <w:spacing w:line="240" w:lineRule="auto"/>
        <w:jc w:val="center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jc w:val="center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jc w:val="center"/>
        <w:rPr>
          <w:b/>
          <w:sz w:val="24"/>
          <w:szCs w:val="24"/>
        </w:rPr>
      </w:pPr>
    </w:p>
    <w:p w:rsidR="00A70674" w:rsidRPr="005B3682" w:rsidRDefault="00A70674" w:rsidP="00C45F25">
      <w:pPr>
        <w:spacing w:line="240" w:lineRule="auto"/>
        <w:jc w:val="center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jc w:val="center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jc w:val="center"/>
        <w:rPr>
          <w:b/>
          <w:bCs/>
          <w:sz w:val="28"/>
          <w:szCs w:val="28"/>
        </w:rPr>
      </w:pPr>
      <w:r w:rsidRPr="005B3682">
        <w:rPr>
          <w:b/>
          <w:bCs/>
          <w:sz w:val="28"/>
          <w:szCs w:val="28"/>
        </w:rPr>
        <w:t>ПОЛИТИКА</w:t>
      </w:r>
    </w:p>
    <w:p w:rsidR="001F329B" w:rsidRPr="005B3682" w:rsidRDefault="001F329B" w:rsidP="00C45F25">
      <w:pPr>
        <w:spacing w:line="240" w:lineRule="auto"/>
        <w:jc w:val="center"/>
        <w:rPr>
          <w:b/>
          <w:sz w:val="24"/>
          <w:szCs w:val="24"/>
        </w:rPr>
      </w:pPr>
      <w:r w:rsidRPr="005B3682">
        <w:rPr>
          <w:b/>
          <w:bCs/>
          <w:sz w:val="24"/>
          <w:szCs w:val="24"/>
        </w:rPr>
        <w:t>СОВЕРШЕНИЯ ТОРГОВЫХ ОПЕРАЦИЙ ЗА СЧЕТ КЛИЕНТОВ</w:t>
      </w:r>
    </w:p>
    <w:p w:rsidR="001F329B" w:rsidRPr="005B3682" w:rsidRDefault="001F329B" w:rsidP="00C45F25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5B3682">
        <w:rPr>
          <w:b/>
          <w:sz w:val="24"/>
          <w:szCs w:val="24"/>
        </w:rPr>
        <w:t>В БАНКЕ РМП (ПАО)</w:t>
      </w: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C45F25" w:rsidRPr="005B3682" w:rsidRDefault="00C45F25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A70674" w:rsidRPr="005B3682" w:rsidRDefault="00A70674" w:rsidP="00C45F25">
      <w:pPr>
        <w:spacing w:line="240" w:lineRule="auto"/>
        <w:rPr>
          <w:b/>
          <w:sz w:val="24"/>
          <w:szCs w:val="24"/>
        </w:rPr>
      </w:pPr>
    </w:p>
    <w:p w:rsidR="00A70674" w:rsidRPr="005B3682" w:rsidRDefault="00A70674" w:rsidP="00C45F25">
      <w:pPr>
        <w:spacing w:line="240" w:lineRule="auto"/>
        <w:rPr>
          <w:b/>
          <w:sz w:val="24"/>
          <w:szCs w:val="24"/>
        </w:rPr>
      </w:pPr>
    </w:p>
    <w:p w:rsidR="00A70674" w:rsidRPr="005B3682" w:rsidRDefault="00A70674" w:rsidP="00C45F25">
      <w:pPr>
        <w:spacing w:line="240" w:lineRule="auto"/>
        <w:rPr>
          <w:b/>
          <w:sz w:val="24"/>
          <w:szCs w:val="24"/>
        </w:rPr>
      </w:pPr>
    </w:p>
    <w:p w:rsidR="00A70674" w:rsidRPr="005B3682" w:rsidRDefault="00A70674" w:rsidP="00C45F25">
      <w:pPr>
        <w:spacing w:line="240" w:lineRule="auto"/>
        <w:rPr>
          <w:b/>
          <w:sz w:val="24"/>
          <w:szCs w:val="24"/>
        </w:rPr>
      </w:pPr>
    </w:p>
    <w:p w:rsidR="00A70674" w:rsidRPr="005B3682" w:rsidRDefault="00A70674" w:rsidP="00C45F25">
      <w:pPr>
        <w:spacing w:line="240" w:lineRule="auto"/>
        <w:rPr>
          <w:b/>
          <w:sz w:val="24"/>
          <w:szCs w:val="24"/>
        </w:rPr>
      </w:pPr>
    </w:p>
    <w:p w:rsidR="00A70674" w:rsidRPr="005B3682" w:rsidRDefault="00A70674" w:rsidP="00C45F25">
      <w:pPr>
        <w:spacing w:line="240" w:lineRule="auto"/>
        <w:rPr>
          <w:b/>
          <w:sz w:val="24"/>
          <w:szCs w:val="24"/>
        </w:rPr>
      </w:pPr>
    </w:p>
    <w:p w:rsidR="00A70674" w:rsidRPr="005B3682" w:rsidRDefault="00A70674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rPr>
          <w:b/>
          <w:sz w:val="24"/>
          <w:szCs w:val="24"/>
        </w:rPr>
      </w:pPr>
    </w:p>
    <w:p w:rsidR="001F329B" w:rsidRPr="005B3682" w:rsidRDefault="001F329B" w:rsidP="00C45F25">
      <w:pPr>
        <w:spacing w:line="240" w:lineRule="auto"/>
        <w:jc w:val="center"/>
        <w:rPr>
          <w:sz w:val="24"/>
          <w:szCs w:val="24"/>
        </w:rPr>
      </w:pPr>
      <w:r w:rsidRPr="005B3682">
        <w:rPr>
          <w:sz w:val="24"/>
          <w:szCs w:val="24"/>
        </w:rPr>
        <w:t>Москва</w:t>
      </w:r>
    </w:p>
    <w:p w:rsidR="001F329B" w:rsidRPr="005B3682" w:rsidRDefault="001F329B" w:rsidP="00C45F25">
      <w:pPr>
        <w:spacing w:line="240" w:lineRule="auto"/>
        <w:jc w:val="center"/>
        <w:rPr>
          <w:sz w:val="24"/>
          <w:szCs w:val="24"/>
        </w:rPr>
      </w:pPr>
    </w:p>
    <w:p w:rsidR="00325066" w:rsidRPr="005B3682" w:rsidRDefault="001F329B" w:rsidP="00C45F25">
      <w:pPr>
        <w:spacing w:line="240" w:lineRule="auto"/>
        <w:jc w:val="center"/>
        <w:rPr>
          <w:sz w:val="24"/>
          <w:szCs w:val="24"/>
        </w:rPr>
      </w:pPr>
      <w:r w:rsidRPr="005B3682">
        <w:rPr>
          <w:sz w:val="24"/>
          <w:szCs w:val="24"/>
        </w:rPr>
        <w:t>201</w:t>
      </w:r>
      <w:r w:rsidR="00A70674" w:rsidRPr="005B3682">
        <w:rPr>
          <w:sz w:val="24"/>
          <w:szCs w:val="24"/>
        </w:rPr>
        <w:t>9</w:t>
      </w:r>
    </w:p>
    <w:p w:rsidR="006114D9" w:rsidRPr="005B3682" w:rsidRDefault="00C45F25" w:rsidP="00C45F25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5B3682">
        <w:rPr>
          <w:rFonts w:ascii="Times New Roman" w:hAnsi="Times New Roman" w:cs="Times New Roman"/>
          <w:b/>
          <w:color w:val="auto"/>
        </w:rPr>
        <w:lastRenderedPageBreak/>
        <w:t>ОБЩИЕ ПОЛОЖЕНИЯ</w:t>
      </w:r>
    </w:p>
    <w:p w:rsidR="00C45F25" w:rsidRPr="005B3682" w:rsidRDefault="00C45F25" w:rsidP="00C45F25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6114D9" w:rsidRPr="005B3682" w:rsidRDefault="006114D9" w:rsidP="00C45F25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Настоящая Политика совершения торговых операций за счет Клиентов </w:t>
      </w:r>
      <w:r w:rsidR="00A70674" w:rsidRPr="005B3682">
        <w:rPr>
          <w:rFonts w:ascii="Times New Roman" w:hAnsi="Times New Roman" w:cs="Times New Roman"/>
          <w:color w:val="auto"/>
        </w:rPr>
        <w:t xml:space="preserve">в Банке РМП (ПАО) </w:t>
      </w:r>
      <w:r w:rsidRPr="005B3682">
        <w:rPr>
          <w:rFonts w:ascii="Times New Roman" w:hAnsi="Times New Roman" w:cs="Times New Roman"/>
          <w:color w:val="auto"/>
        </w:rPr>
        <w:t xml:space="preserve">(далее – Политика)  определяет общие принципы, которыми </w:t>
      </w:r>
      <w:r w:rsidR="00C94395" w:rsidRPr="005B3682">
        <w:rPr>
          <w:rFonts w:ascii="Times New Roman" w:hAnsi="Times New Roman" w:cs="Times New Roman"/>
          <w:color w:val="auto"/>
        </w:rPr>
        <w:t>Б</w:t>
      </w:r>
      <w:r w:rsidR="00A70674" w:rsidRPr="005B3682">
        <w:rPr>
          <w:rFonts w:ascii="Times New Roman" w:hAnsi="Times New Roman" w:cs="Times New Roman"/>
          <w:color w:val="auto"/>
        </w:rPr>
        <w:t>анк РМП</w:t>
      </w:r>
      <w:r w:rsidR="00C94395" w:rsidRPr="005B3682">
        <w:rPr>
          <w:rFonts w:ascii="Times New Roman" w:hAnsi="Times New Roman" w:cs="Times New Roman"/>
          <w:color w:val="auto"/>
        </w:rPr>
        <w:t xml:space="preserve"> </w:t>
      </w:r>
      <w:r w:rsidRPr="005B3682">
        <w:rPr>
          <w:rFonts w:ascii="Times New Roman" w:hAnsi="Times New Roman" w:cs="Times New Roman"/>
          <w:color w:val="auto"/>
        </w:rPr>
        <w:t xml:space="preserve">ПАО (далее </w:t>
      </w:r>
      <w:r w:rsidR="00A70674" w:rsidRPr="005B3682">
        <w:rPr>
          <w:rFonts w:ascii="Times New Roman" w:hAnsi="Times New Roman" w:cs="Times New Roman"/>
          <w:color w:val="auto"/>
        </w:rPr>
        <w:t>–</w:t>
      </w:r>
      <w:r w:rsidRPr="005B3682">
        <w:rPr>
          <w:rFonts w:ascii="Times New Roman" w:hAnsi="Times New Roman" w:cs="Times New Roman"/>
          <w:color w:val="auto"/>
        </w:rPr>
        <w:t xml:space="preserve"> Банк) руководствуется, исполняя поручения (Заявки)  Клиентов на сделки с ценными бумагами и иными финансовыми инструментами и совершая торговые операции за счет Клиентов. </w:t>
      </w:r>
    </w:p>
    <w:p w:rsidR="006114D9" w:rsidRPr="005B3682" w:rsidRDefault="006114D9" w:rsidP="00C45F25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Настоящая Политика применяется при совершении торговых операций в Торговых системах и на внебиржевом рынке (в том числе при исполнении поручения путем заключения сделки с другим Клиентом Банка). </w:t>
      </w:r>
    </w:p>
    <w:p w:rsidR="006114D9" w:rsidRPr="005B3682" w:rsidRDefault="006114D9" w:rsidP="00C45F25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Настоящая Политика не распространяется на поручения: </w:t>
      </w:r>
    </w:p>
    <w:p w:rsidR="006114D9" w:rsidRPr="005B3682" w:rsidRDefault="006114D9" w:rsidP="00342B68">
      <w:pPr>
        <w:pStyle w:val="Default"/>
        <w:numPr>
          <w:ilvl w:val="0"/>
          <w:numId w:val="3"/>
        </w:numPr>
        <w:tabs>
          <w:tab w:val="left" w:pos="1134"/>
        </w:tabs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эмитентов ценных бумаг, </w:t>
      </w:r>
      <w:proofErr w:type="gramStart"/>
      <w:r w:rsidRPr="005B3682">
        <w:rPr>
          <w:rFonts w:ascii="Times New Roman" w:hAnsi="Times New Roman" w:cs="Times New Roman"/>
          <w:color w:val="auto"/>
        </w:rPr>
        <w:t>связанные</w:t>
      </w:r>
      <w:proofErr w:type="gramEnd"/>
      <w:r w:rsidRPr="005B3682">
        <w:rPr>
          <w:rFonts w:ascii="Times New Roman" w:hAnsi="Times New Roman" w:cs="Times New Roman"/>
          <w:color w:val="auto"/>
        </w:rPr>
        <w:t xml:space="preserve"> с размещением и (или) выкупом собственных ценных бумаг; </w:t>
      </w:r>
    </w:p>
    <w:p w:rsidR="006114D9" w:rsidRPr="005B3682" w:rsidRDefault="006114D9" w:rsidP="00342B68">
      <w:pPr>
        <w:pStyle w:val="Default"/>
        <w:numPr>
          <w:ilvl w:val="0"/>
          <w:numId w:val="3"/>
        </w:numPr>
        <w:tabs>
          <w:tab w:val="left" w:pos="1134"/>
        </w:tabs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лиц, являющихся квалифицированными инвесторами в силу закона или иностранными финансовыми организациями, в </w:t>
      </w:r>
      <w:proofErr w:type="gramStart"/>
      <w:r w:rsidRPr="005B3682">
        <w:rPr>
          <w:rFonts w:ascii="Times New Roman" w:hAnsi="Times New Roman" w:cs="Times New Roman"/>
          <w:color w:val="auto"/>
        </w:rPr>
        <w:t>случаях</w:t>
      </w:r>
      <w:proofErr w:type="gramEnd"/>
      <w:r w:rsidRPr="005B3682">
        <w:rPr>
          <w:rFonts w:ascii="Times New Roman" w:hAnsi="Times New Roman" w:cs="Times New Roman"/>
          <w:color w:val="auto"/>
        </w:rPr>
        <w:t xml:space="preserve"> когда указанные лица действуют за собственный счет и соглашение с указанным лицом прямо освобождает Банк от обязанности исполнять поручение такого Клиента на лучших условиях; </w:t>
      </w:r>
    </w:p>
    <w:p w:rsidR="006114D9" w:rsidRPr="005B3682" w:rsidRDefault="006114D9" w:rsidP="00342B68">
      <w:pPr>
        <w:pStyle w:val="Default"/>
        <w:numPr>
          <w:ilvl w:val="0"/>
          <w:numId w:val="3"/>
        </w:numPr>
        <w:tabs>
          <w:tab w:val="left" w:pos="1134"/>
        </w:tabs>
        <w:ind w:left="1418" w:hanging="284"/>
        <w:jc w:val="both"/>
        <w:rPr>
          <w:rFonts w:ascii="Times New Roman" w:hAnsi="Times New Roman" w:cs="Times New Roman"/>
          <w:color w:val="auto"/>
        </w:rPr>
      </w:pPr>
      <w:proofErr w:type="gramStart"/>
      <w:r w:rsidRPr="005B3682">
        <w:rPr>
          <w:rFonts w:ascii="Times New Roman" w:hAnsi="Times New Roman" w:cs="Times New Roman"/>
          <w:color w:val="auto"/>
        </w:rPr>
        <w:t>поданные</w:t>
      </w:r>
      <w:proofErr w:type="gramEnd"/>
      <w:r w:rsidRPr="005B3682">
        <w:rPr>
          <w:rFonts w:ascii="Times New Roman" w:hAnsi="Times New Roman" w:cs="Times New Roman"/>
          <w:color w:val="auto"/>
        </w:rPr>
        <w:t xml:space="preserve"> Клиентами в торговую систему самостоятельно;</w:t>
      </w:r>
    </w:p>
    <w:p w:rsidR="006114D9" w:rsidRPr="005B3682" w:rsidRDefault="006114D9" w:rsidP="00342B68">
      <w:pPr>
        <w:pStyle w:val="Default"/>
        <w:numPr>
          <w:ilvl w:val="0"/>
          <w:numId w:val="3"/>
        </w:numPr>
        <w:tabs>
          <w:tab w:val="left" w:pos="1134"/>
        </w:tabs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>поданные в связи со снижением стоимости портфеля Клиента ниже соответствующего ему размера минимальной маржи.</w:t>
      </w:r>
    </w:p>
    <w:p w:rsidR="006114D9" w:rsidRPr="005B3682" w:rsidRDefault="006114D9" w:rsidP="00C45F25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>Термины, не определенные выше, понимаются в настоящей Политике в значении, определенном законодательством Российской Федерации и</w:t>
      </w:r>
      <w:r w:rsidR="00C45F25" w:rsidRPr="005B3682">
        <w:rPr>
          <w:rFonts w:ascii="Times New Roman" w:hAnsi="Times New Roman" w:cs="Times New Roman"/>
          <w:color w:val="auto"/>
        </w:rPr>
        <w:t xml:space="preserve"> Регламентом брокерского обслуживания клиентов в Банке РМП (ПАО).</w:t>
      </w:r>
    </w:p>
    <w:p w:rsidR="00C45F25" w:rsidRPr="005B3682" w:rsidRDefault="00C45F25" w:rsidP="00C45F25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C45F25" w:rsidRPr="005B3682" w:rsidRDefault="00C45F25" w:rsidP="00C45F25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6114D9" w:rsidRPr="005B3682" w:rsidRDefault="00C45F25" w:rsidP="00C45F25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5B3682">
        <w:rPr>
          <w:rFonts w:ascii="Times New Roman" w:hAnsi="Times New Roman" w:cs="Times New Roman"/>
          <w:b/>
          <w:color w:val="auto"/>
        </w:rPr>
        <w:t>ПОРЯДОК ИСПОЛНЕНИЯ ПОРУЧЕНИЙ НА ЛУЧШИХ УСЛОВИЯХ</w:t>
      </w:r>
    </w:p>
    <w:p w:rsidR="00C45F25" w:rsidRPr="005B3682" w:rsidRDefault="00C45F25" w:rsidP="00C45F25">
      <w:pPr>
        <w:pStyle w:val="Default"/>
        <w:tabs>
          <w:tab w:val="left" w:pos="284"/>
        </w:tabs>
        <w:rPr>
          <w:rFonts w:ascii="Times New Roman" w:hAnsi="Times New Roman" w:cs="Times New Roman"/>
          <w:b/>
          <w:color w:val="auto"/>
        </w:rPr>
      </w:pPr>
    </w:p>
    <w:p w:rsidR="006114D9" w:rsidRPr="005B3682" w:rsidRDefault="006114D9" w:rsidP="00342B68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>При осуществлении брокерской деятельности Банк принимает все разумные меры для совершения торговых операций за счет Клиента на лучших условиях, на биржевом и на внебиржевом рынке (в том числе</w:t>
      </w:r>
      <w:r w:rsidR="00342B68" w:rsidRPr="005B3682">
        <w:rPr>
          <w:rFonts w:ascii="Times New Roman" w:hAnsi="Times New Roman" w:cs="Times New Roman"/>
          <w:color w:val="auto"/>
        </w:rPr>
        <w:t>,</w:t>
      </w:r>
      <w:r w:rsidRPr="005B3682">
        <w:rPr>
          <w:rFonts w:ascii="Times New Roman" w:hAnsi="Times New Roman" w:cs="Times New Roman"/>
          <w:color w:val="auto"/>
        </w:rPr>
        <w:t xml:space="preserve"> при исполнении поручения путем заключения сделки с другим клиентом Банка). </w:t>
      </w:r>
    </w:p>
    <w:p w:rsidR="008377BB" w:rsidRPr="005B3682" w:rsidRDefault="008377BB" w:rsidP="00342B68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Банк не допускает дискриминацию одних Клиентов по отношению к другим. Все Поручения принимаются Банком в порядке очередности их поступления от Клиентов. </w:t>
      </w:r>
    </w:p>
    <w:p w:rsidR="008377BB" w:rsidRPr="005B3682" w:rsidRDefault="008377BB" w:rsidP="00342B68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Сделки, осуществляемые по Поручению Клиентов, во всех случаях подлежат приоритетному исполнению по сравнению с собственными операциями Банка при совмещении им брокерской и дилерской деятельности. </w:t>
      </w:r>
    </w:p>
    <w:p w:rsidR="006114D9" w:rsidRPr="005B3682" w:rsidRDefault="006114D9" w:rsidP="00342B68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В целях исполнения пункта 2.1. </w:t>
      </w:r>
      <w:r w:rsidR="00342B68" w:rsidRPr="005B3682">
        <w:rPr>
          <w:rFonts w:ascii="Times New Roman" w:hAnsi="Times New Roman" w:cs="Times New Roman"/>
          <w:color w:val="auto"/>
        </w:rPr>
        <w:t xml:space="preserve">настоящей </w:t>
      </w:r>
      <w:r w:rsidRPr="005B3682">
        <w:rPr>
          <w:rFonts w:ascii="Times New Roman" w:hAnsi="Times New Roman" w:cs="Times New Roman"/>
          <w:color w:val="auto"/>
        </w:rPr>
        <w:t xml:space="preserve">Политики Банк учитывает следующие факторы, влияющие на исполнение поручений: </w:t>
      </w:r>
    </w:p>
    <w:p w:rsidR="0029029E" w:rsidRPr="005B3682" w:rsidRDefault="006114D9" w:rsidP="0029029E">
      <w:pPr>
        <w:pStyle w:val="Default"/>
        <w:tabs>
          <w:tab w:val="left" w:pos="1418"/>
        </w:tabs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а) лучшая возможная цена сделки </w:t>
      </w:r>
      <w:r w:rsidR="005A4060" w:rsidRPr="005B3682">
        <w:rPr>
          <w:rFonts w:ascii="Times New Roman" w:hAnsi="Times New Roman" w:cs="Times New Roman"/>
          <w:color w:val="auto"/>
        </w:rPr>
        <w:t xml:space="preserve">на момент выставления заявки </w:t>
      </w:r>
      <w:r w:rsidRPr="005B3682">
        <w:rPr>
          <w:rFonts w:ascii="Times New Roman" w:hAnsi="Times New Roman" w:cs="Times New Roman"/>
          <w:color w:val="auto"/>
        </w:rPr>
        <w:t>(с учетом объема операции);</w:t>
      </w:r>
    </w:p>
    <w:p w:rsidR="006114D9" w:rsidRPr="005B3682" w:rsidRDefault="006114D9" w:rsidP="0029029E">
      <w:pPr>
        <w:pStyle w:val="Default"/>
        <w:tabs>
          <w:tab w:val="left" w:pos="1418"/>
        </w:tabs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б) минимальные расходы на совершение сделки и </w:t>
      </w:r>
      <w:r w:rsidR="00663863" w:rsidRPr="005B3682">
        <w:rPr>
          <w:rFonts w:ascii="Times New Roman" w:hAnsi="Times New Roman" w:cs="Times New Roman"/>
          <w:color w:val="auto"/>
        </w:rPr>
        <w:t xml:space="preserve">осуществление </w:t>
      </w:r>
      <w:r w:rsidRPr="005B3682">
        <w:rPr>
          <w:rFonts w:ascii="Times New Roman" w:hAnsi="Times New Roman" w:cs="Times New Roman"/>
          <w:color w:val="auto"/>
        </w:rPr>
        <w:t>расчет</w:t>
      </w:r>
      <w:r w:rsidR="00663863" w:rsidRPr="005B3682">
        <w:rPr>
          <w:rFonts w:ascii="Times New Roman" w:hAnsi="Times New Roman" w:cs="Times New Roman"/>
          <w:color w:val="auto"/>
        </w:rPr>
        <w:t>ов</w:t>
      </w:r>
      <w:r w:rsidRPr="005B3682">
        <w:rPr>
          <w:rFonts w:ascii="Times New Roman" w:hAnsi="Times New Roman" w:cs="Times New Roman"/>
          <w:color w:val="auto"/>
        </w:rPr>
        <w:t xml:space="preserve"> по ней; </w:t>
      </w:r>
    </w:p>
    <w:p w:rsidR="006114D9" w:rsidRPr="005B3682" w:rsidRDefault="006114D9" w:rsidP="0029029E">
      <w:pPr>
        <w:pStyle w:val="Default"/>
        <w:tabs>
          <w:tab w:val="left" w:pos="1418"/>
        </w:tabs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в) минимальный срок исполнения </w:t>
      </w:r>
      <w:r w:rsidR="00663863" w:rsidRPr="005B3682">
        <w:rPr>
          <w:rFonts w:ascii="Times New Roman" w:hAnsi="Times New Roman" w:cs="Times New Roman"/>
          <w:color w:val="auto"/>
        </w:rPr>
        <w:t>поручения</w:t>
      </w:r>
      <w:r w:rsidRPr="005B3682">
        <w:rPr>
          <w:rFonts w:ascii="Times New Roman" w:hAnsi="Times New Roman" w:cs="Times New Roman"/>
          <w:color w:val="auto"/>
        </w:rPr>
        <w:t xml:space="preserve">; </w:t>
      </w:r>
    </w:p>
    <w:p w:rsidR="006114D9" w:rsidRPr="005B3682" w:rsidRDefault="006114D9" w:rsidP="0029029E">
      <w:pPr>
        <w:pStyle w:val="Default"/>
        <w:tabs>
          <w:tab w:val="left" w:pos="1418"/>
        </w:tabs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г) исполнение поручения по возможности в полном объеме; </w:t>
      </w:r>
    </w:p>
    <w:p w:rsidR="008377BB" w:rsidRPr="005B3682" w:rsidRDefault="006114D9" w:rsidP="0029029E">
      <w:pPr>
        <w:pStyle w:val="Default"/>
        <w:tabs>
          <w:tab w:val="left" w:pos="1418"/>
        </w:tabs>
        <w:ind w:left="1418" w:hanging="284"/>
        <w:jc w:val="both"/>
        <w:rPr>
          <w:rFonts w:ascii="Times New Roman" w:hAnsi="Times New Roman" w:cs="Times New Roman"/>
          <w:color w:val="auto"/>
        </w:rPr>
      </w:pPr>
      <w:proofErr w:type="spellStart"/>
      <w:r w:rsidRPr="005B3682">
        <w:rPr>
          <w:rFonts w:ascii="Times New Roman" w:hAnsi="Times New Roman" w:cs="Times New Roman"/>
          <w:color w:val="auto"/>
        </w:rPr>
        <w:t>д</w:t>
      </w:r>
      <w:proofErr w:type="spellEnd"/>
      <w:r w:rsidRPr="005B3682">
        <w:rPr>
          <w:rFonts w:ascii="Times New Roman" w:hAnsi="Times New Roman" w:cs="Times New Roman"/>
          <w:color w:val="auto"/>
        </w:rPr>
        <w:t>) минимизация рисков неисполнения сделки, а также признания совершенной сделки недействительной</w:t>
      </w:r>
      <w:r w:rsidR="008377BB" w:rsidRPr="005B3682">
        <w:rPr>
          <w:rFonts w:ascii="Times New Roman" w:hAnsi="Times New Roman" w:cs="Times New Roman"/>
          <w:color w:val="auto"/>
        </w:rPr>
        <w:t>;</w:t>
      </w:r>
    </w:p>
    <w:p w:rsidR="008377BB" w:rsidRPr="005B3682" w:rsidRDefault="008377BB" w:rsidP="0029029E">
      <w:pPr>
        <w:pStyle w:val="Default"/>
        <w:tabs>
          <w:tab w:val="left" w:pos="1418"/>
        </w:tabs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>е) период времени, в который должна быть совершена сделка;</w:t>
      </w:r>
    </w:p>
    <w:p w:rsidR="006114D9" w:rsidRPr="005B3682" w:rsidRDefault="008377BB" w:rsidP="0029029E">
      <w:pPr>
        <w:pStyle w:val="Default"/>
        <w:tabs>
          <w:tab w:val="left" w:pos="1418"/>
        </w:tabs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>ж) иная информация, имеющая значение для Клиента.</w:t>
      </w:r>
    </w:p>
    <w:p w:rsidR="006114D9" w:rsidRPr="005B3682" w:rsidRDefault="006114D9" w:rsidP="00342B68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Условия, указанные в пункте 2.2 </w:t>
      </w:r>
      <w:r w:rsidR="00342B68" w:rsidRPr="005B3682">
        <w:rPr>
          <w:rFonts w:ascii="Times New Roman" w:hAnsi="Times New Roman" w:cs="Times New Roman"/>
          <w:color w:val="auto"/>
        </w:rPr>
        <w:t xml:space="preserve">настоящей </w:t>
      </w:r>
      <w:r w:rsidRPr="005B3682">
        <w:rPr>
          <w:rFonts w:ascii="Times New Roman" w:hAnsi="Times New Roman" w:cs="Times New Roman"/>
          <w:color w:val="auto"/>
        </w:rPr>
        <w:t xml:space="preserve">Политики выполняются с учетом всех обстоятельств, имеющих значение для выполнения поручения Клиента, и сложившейся практики исполнения поручений Клиентов. </w:t>
      </w:r>
    </w:p>
    <w:p w:rsidR="006114D9" w:rsidRPr="005B3682" w:rsidRDefault="006114D9" w:rsidP="00342B68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Выполнение требования п. 2.1 </w:t>
      </w:r>
      <w:r w:rsidR="00342B68" w:rsidRPr="005B3682">
        <w:rPr>
          <w:rFonts w:ascii="Times New Roman" w:hAnsi="Times New Roman" w:cs="Times New Roman"/>
          <w:color w:val="auto"/>
        </w:rPr>
        <w:t xml:space="preserve">настоящей </w:t>
      </w:r>
      <w:r w:rsidRPr="005B3682">
        <w:rPr>
          <w:rFonts w:ascii="Times New Roman" w:hAnsi="Times New Roman" w:cs="Times New Roman"/>
          <w:color w:val="auto"/>
        </w:rPr>
        <w:t xml:space="preserve">Политики осуществляется Банком с учетом: </w:t>
      </w:r>
    </w:p>
    <w:p w:rsidR="006114D9" w:rsidRPr="005B3682" w:rsidRDefault="006114D9" w:rsidP="0029029E">
      <w:pPr>
        <w:pStyle w:val="Default"/>
        <w:tabs>
          <w:tab w:val="left" w:pos="1418"/>
        </w:tabs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lastRenderedPageBreak/>
        <w:t xml:space="preserve">а) условий </w:t>
      </w:r>
      <w:r w:rsidR="00C45F25" w:rsidRPr="005B3682">
        <w:rPr>
          <w:rFonts w:ascii="Times New Roman" w:hAnsi="Times New Roman" w:cs="Times New Roman"/>
          <w:color w:val="auto"/>
        </w:rPr>
        <w:t xml:space="preserve">Регламента брокерского обслуживания клиентов в Банке РМП (ПАО) </w:t>
      </w:r>
      <w:r w:rsidRPr="005B3682">
        <w:rPr>
          <w:rFonts w:ascii="Times New Roman" w:hAnsi="Times New Roman" w:cs="Times New Roman"/>
          <w:color w:val="auto"/>
        </w:rPr>
        <w:t xml:space="preserve">и иных соглашений с Клиентом (при  наличии таковых); </w:t>
      </w:r>
    </w:p>
    <w:p w:rsidR="006114D9" w:rsidRPr="005B3682" w:rsidRDefault="006114D9" w:rsidP="0029029E">
      <w:pPr>
        <w:pStyle w:val="Default"/>
        <w:tabs>
          <w:tab w:val="left" w:pos="1418"/>
        </w:tabs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>б) категории клиента (квалифицированный инвестор в силу закона, инвестор, признанный квалифицированным, или неквалифицированный инвестор)</w:t>
      </w:r>
    </w:p>
    <w:p w:rsidR="006114D9" w:rsidRPr="005B3682" w:rsidRDefault="006114D9" w:rsidP="0029029E">
      <w:pPr>
        <w:pStyle w:val="Default"/>
        <w:tabs>
          <w:tab w:val="left" w:pos="1418"/>
        </w:tabs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в) условий поручения Клиента; </w:t>
      </w:r>
    </w:p>
    <w:p w:rsidR="006114D9" w:rsidRPr="005B3682" w:rsidRDefault="006114D9" w:rsidP="0029029E">
      <w:pPr>
        <w:pStyle w:val="Default"/>
        <w:tabs>
          <w:tab w:val="left" w:pos="1418"/>
        </w:tabs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г) характеристик финансового инструмента, являющегося предметом Заявки Клиента; </w:t>
      </w:r>
    </w:p>
    <w:p w:rsidR="006114D9" w:rsidRPr="005B3682" w:rsidRDefault="006114D9" w:rsidP="0029029E">
      <w:pPr>
        <w:pStyle w:val="Default"/>
        <w:tabs>
          <w:tab w:val="left" w:pos="1418"/>
        </w:tabs>
        <w:ind w:left="1418" w:hanging="284"/>
        <w:jc w:val="both"/>
        <w:rPr>
          <w:rFonts w:ascii="Times New Roman" w:hAnsi="Times New Roman" w:cs="Times New Roman"/>
          <w:color w:val="auto"/>
        </w:rPr>
      </w:pPr>
      <w:proofErr w:type="spellStart"/>
      <w:r w:rsidRPr="005B3682">
        <w:rPr>
          <w:rFonts w:ascii="Times New Roman" w:hAnsi="Times New Roman" w:cs="Times New Roman"/>
          <w:color w:val="auto"/>
        </w:rPr>
        <w:t>д</w:t>
      </w:r>
      <w:proofErr w:type="spellEnd"/>
      <w:r w:rsidRPr="005B3682">
        <w:rPr>
          <w:rFonts w:ascii="Times New Roman" w:hAnsi="Times New Roman" w:cs="Times New Roman"/>
          <w:color w:val="auto"/>
        </w:rPr>
        <w:t>) характеристик места исполнения поручения Клиента или контрагента, через которого осуществляется исполнение поручения,</w:t>
      </w:r>
    </w:p>
    <w:p w:rsidR="006114D9" w:rsidRPr="005B3682" w:rsidRDefault="006114D9" w:rsidP="0029029E">
      <w:pPr>
        <w:pStyle w:val="Default"/>
        <w:tabs>
          <w:tab w:val="left" w:pos="1418"/>
        </w:tabs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е) сложившейся практики и ограничений на совершение сделок на финансовом рынке и конкретных обстоятельств, сложившихся в момент </w:t>
      </w:r>
      <w:proofErr w:type="gramStart"/>
      <w:r w:rsidRPr="005B3682">
        <w:rPr>
          <w:rFonts w:ascii="Times New Roman" w:hAnsi="Times New Roman" w:cs="Times New Roman"/>
          <w:color w:val="auto"/>
        </w:rPr>
        <w:t>подачи поручения Клиента/</w:t>
      </w:r>
      <w:r w:rsidR="00663863" w:rsidRPr="005B3682">
        <w:rPr>
          <w:rFonts w:ascii="Times New Roman" w:hAnsi="Times New Roman" w:cs="Times New Roman"/>
          <w:color w:val="auto"/>
        </w:rPr>
        <w:t xml:space="preserve"> </w:t>
      </w:r>
      <w:r w:rsidRPr="005B3682">
        <w:rPr>
          <w:rFonts w:ascii="Times New Roman" w:hAnsi="Times New Roman" w:cs="Times New Roman"/>
          <w:color w:val="auto"/>
        </w:rPr>
        <w:t>заключения сделки</w:t>
      </w:r>
      <w:proofErr w:type="gramEnd"/>
      <w:r w:rsidRPr="005B3682">
        <w:rPr>
          <w:rFonts w:ascii="Times New Roman" w:hAnsi="Times New Roman" w:cs="Times New Roman"/>
          <w:color w:val="auto"/>
        </w:rPr>
        <w:t xml:space="preserve">. </w:t>
      </w:r>
    </w:p>
    <w:p w:rsidR="006114D9" w:rsidRPr="005B3682" w:rsidRDefault="006114D9" w:rsidP="00342B68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Банк вправе самостоятельно определить приоритетность условий, определенных п.2.2 Политики, действуя в интересах Клиента и исходя из сложившихся обстоятельств. Указанные факторы, определяющие совершение торговых операций на самых выгодных условиях, будут приниматься во внимание в порядке, который учитывает различные обстоятельства, связанные с исполнением поручений, и в зависимости от типа финансовых инструментов, являющихся предметом поручения. </w:t>
      </w:r>
    </w:p>
    <w:p w:rsidR="006114D9" w:rsidRPr="005B3682" w:rsidRDefault="006114D9" w:rsidP="00342B68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Требование, установленное пунктом 2.1 </w:t>
      </w:r>
      <w:r w:rsidR="00342B68" w:rsidRPr="005B3682">
        <w:rPr>
          <w:rFonts w:ascii="Times New Roman" w:hAnsi="Times New Roman" w:cs="Times New Roman"/>
          <w:color w:val="auto"/>
        </w:rPr>
        <w:t xml:space="preserve">настоящей </w:t>
      </w:r>
      <w:r w:rsidRPr="005B3682">
        <w:rPr>
          <w:rFonts w:ascii="Times New Roman" w:hAnsi="Times New Roman" w:cs="Times New Roman"/>
          <w:color w:val="auto"/>
        </w:rPr>
        <w:t>Политики, не применяется в отношении условий исполнения поручений, предусмотренных в</w:t>
      </w:r>
      <w:r w:rsidR="00C45F25" w:rsidRPr="005B3682">
        <w:rPr>
          <w:rFonts w:ascii="Times New Roman" w:hAnsi="Times New Roman" w:cs="Times New Roman"/>
          <w:color w:val="auto"/>
        </w:rPr>
        <w:t xml:space="preserve"> Регламенте брокерского обслуживания клиентов в Банке РМП (ПАО) </w:t>
      </w:r>
      <w:r w:rsidRPr="005B3682">
        <w:rPr>
          <w:rFonts w:ascii="Times New Roman" w:hAnsi="Times New Roman" w:cs="Times New Roman"/>
          <w:color w:val="auto"/>
        </w:rPr>
        <w:t xml:space="preserve"> и/или в конкретном поручении Клиента. </w:t>
      </w:r>
    </w:p>
    <w:p w:rsidR="006114D9" w:rsidRPr="005B3682" w:rsidRDefault="006114D9" w:rsidP="00342B68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Любая конкретная инструкция Клиента, содержащаяся в поручении, может препятствовать выполнению Банком мер, которые Банк разработал и применяет в соответствии с настоящей Политикой, имеющих </w:t>
      </w:r>
      <w:proofErr w:type="gramStart"/>
      <w:r w:rsidRPr="005B3682">
        <w:rPr>
          <w:rFonts w:ascii="Times New Roman" w:hAnsi="Times New Roman" w:cs="Times New Roman"/>
          <w:color w:val="auto"/>
        </w:rPr>
        <w:t>целью</w:t>
      </w:r>
      <w:proofErr w:type="gramEnd"/>
      <w:r w:rsidRPr="005B3682">
        <w:rPr>
          <w:rFonts w:ascii="Times New Roman" w:hAnsi="Times New Roman" w:cs="Times New Roman"/>
          <w:color w:val="auto"/>
        </w:rPr>
        <w:t xml:space="preserve"> достичь наилучший возможный результат исполнения поручений Клиента. Если Клиент требует, чтобы поручение исполнялась определенным конкретным образом, Клиент должен четко выразить свой желаемый метод исполнения при подаче поручения. В </w:t>
      </w:r>
      <w:proofErr w:type="gramStart"/>
      <w:r w:rsidRPr="005B3682">
        <w:rPr>
          <w:rFonts w:ascii="Times New Roman" w:hAnsi="Times New Roman" w:cs="Times New Roman"/>
          <w:color w:val="auto"/>
        </w:rPr>
        <w:t>случае</w:t>
      </w:r>
      <w:proofErr w:type="gramEnd"/>
      <w:r w:rsidRPr="005B3682">
        <w:rPr>
          <w:rFonts w:ascii="Times New Roman" w:hAnsi="Times New Roman" w:cs="Times New Roman"/>
          <w:color w:val="auto"/>
        </w:rPr>
        <w:t xml:space="preserve"> когда конкретные инструкции не являются подробными, Банк будет определять любые неопределенные компоненты в соответствии с настоящей Политикой. </w:t>
      </w:r>
    </w:p>
    <w:p w:rsidR="006114D9" w:rsidRPr="005B3682" w:rsidRDefault="006114D9" w:rsidP="00342B68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Исполнение поручения Клиента на лучших условиях </w:t>
      </w:r>
      <w:proofErr w:type="spellStart"/>
      <w:r w:rsidRPr="005B3682">
        <w:rPr>
          <w:rFonts w:ascii="Times New Roman" w:hAnsi="Times New Roman" w:cs="Times New Roman"/>
          <w:color w:val="auto"/>
        </w:rPr>
        <w:t>презюмируется</w:t>
      </w:r>
      <w:proofErr w:type="spellEnd"/>
      <w:r w:rsidRPr="005B3682">
        <w:rPr>
          <w:rFonts w:ascii="Times New Roman" w:hAnsi="Times New Roman" w:cs="Times New Roman"/>
          <w:color w:val="auto"/>
        </w:rPr>
        <w:t xml:space="preserve">, и указанные в п. 2.1 </w:t>
      </w:r>
      <w:r w:rsidR="00663863" w:rsidRPr="005B3682">
        <w:rPr>
          <w:rFonts w:ascii="Times New Roman" w:hAnsi="Times New Roman" w:cs="Times New Roman"/>
          <w:color w:val="auto"/>
        </w:rPr>
        <w:t xml:space="preserve">настоящей Политики </w:t>
      </w:r>
      <w:r w:rsidRPr="005B3682">
        <w:rPr>
          <w:rFonts w:ascii="Times New Roman" w:hAnsi="Times New Roman" w:cs="Times New Roman"/>
          <w:color w:val="auto"/>
        </w:rPr>
        <w:t>требования считаются соблюденными Банком, если:</w:t>
      </w:r>
    </w:p>
    <w:p w:rsidR="006114D9" w:rsidRPr="005B3682" w:rsidRDefault="006114D9" w:rsidP="00663863">
      <w:pPr>
        <w:pStyle w:val="Default"/>
        <w:ind w:left="1418" w:hanging="284"/>
        <w:jc w:val="both"/>
        <w:rPr>
          <w:rFonts w:ascii="Times New Roman" w:hAnsi="Times New Roman" w:cs="Times New Roman"/>
          <w:color w:val="auto"/>
        </w:rPr>
      </w:pPr>
      <w:proofErr w:type="gramStart"/>
      <w:r w:rsidRPr="005B3682">
        <w:rPr>
          <w:rFonts w:ascii="Times New Roman" w:hAnsi="Times New Roman" w:cs="Times New Roman"/>
          <w:color w:val="auto"/>
        </w:rPr>
        <w:t>а) такое исполнение осуществляется на торгах организатора торговли на основе заявок на покупку и заявок на продажу ценных бумаг и (или) иностранной валюты и (или) заявок на заключение договора, являющегося производным финансовым инструментом, по наилучшим из указанных в них ценам при том, что заявки адресованы всем участникам торгов и информация, позволяющая идентифицировать подавших заявки участников торгов, не раскрывается в ходе</w:t>
      </w:r>
      <w:proofErr w:type="gramEnd"/>
      <w:r w:rsidRPr="005B3682">
        <w:rPr>
          <w:rFonts w:ascii="Times New Roman" w:hAnsi="Times New Roman" w:cs="Times New Roman"/>
          <w:color w:val="auto"/>
        </w:rPr>
        <w:t xml:space="preserve"> торгов другим участникам и</w:t>
      </w:r>
    </w:p>
    <w:p w:rsidR="006114D9" w:rsidRPr="005B3682" w:rsidRDefault="006114D9" w:rsidP="00663863">
      <w:pPr>
        <w:pStyle w:val="Default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>б) из существа поручения или соглашения с Клиентом или характеристики финансового инструмента, в отношении которого дано поручение, следует обязанность Банка исполнить это поручение не иначе как на торгах указанного организатора торговли.</w:t>
      </w:r>
    </w:p>
    <w:p w:rsidR="008377BB" w:rsidRPr="005B3682" w:rsidRDefault="008377BB" w:rsidP="00342B68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При совершении сделки на внебиржевом рынке Банк должен провести сделку в соответствии с </w:t>
      </w:r>
      <w:r w:rsidR="00342B68" w:rsidRPr="005B3682">
        <w:rPr>
          <w:rFonts w:ascii="Times New Roman" w:hAnsi="Times New Roman" w:cs="Times New Roman"/>
          <w:color w:val="auto"/>
        </w:rPr>
        <w:t xml:space="preserve">настоящей </w:t>
      </w:r>
      <w:r w:rsidRPr="005B3682">
        <w:rPr>
          <w:rFonts w:ascii="Times New Roman" w:hAnsi="Times New Roman" w:cs="Times New Roman"/>
          <w:color w:val="auto"/>
        </w:rPr>
        <w:t xml:space="preserve">Политикой и внутренними процедурами, а также убедиться </w:t>
      </w:r>
      <w:proofErr w:type="gramStart"/>
      <w:r w:rsidRPr="005B3682">
        <w:rPr>
          <w:rFonts w:ascii="Times New Roman" w:hAnsi="Times New Roman" w:cs="Times New Roman"/>
          <w:color w:val="auto"/>
        </w:rPr>
        <w:t>в</w:t>
      </w:r>
      <w:proofErr w:type="gramEnd"/>
      <w:r w:rsidRPr="005B3682">
        <w:rPr>
          <w:rFonts w:ascii="Times New Roman" w:hAnsi="Times New Roman" w:cs="Times New Roman"/>
          <w:color w:val="auto"/>
        </w:rPr>
        <w:t xml:space="preserve">: </w:t>
      </w:r>
    </w:p>
    <w:p w:rsidR="008377BB" w:rsidRPr="005B3682" w:rsidRDefault="008377BB" w:rsidP="00663863">
      <w:pPr>
        <w:pStyle w:val="Default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а) </w:t>
      </w:r>
      <w:proofErr w:type="gramStart"/>
      <w:r w:rsidRPr="005B3682">
        <w:rPr>
          <w:rFonts w:ascii="Times New Roman" w:hAnsi="Times New Roman" w:cs="Times New Roman"/>
          <w:color w:val="auto"/>
        </w:rPr>
        <w:t>наличии</w:t>
      </w:r>
      <w:proofErr w:type="gramEnd"/>
      <w:r w:rsidRPr="005B3682">
        <w:rPr>
          <w:rFonts w:ascii="Times New Roman" w:hAnsi="Times New Roman" w:cs="Times New Roman"/>
          <w:color w:val="auto"/>
        </w:rPr>
        <w:t xml:space="preserve"> лимитов на контрагента, утвержденных в установленном Банком порядке; </w:t>
      </w:r>
    </w:p>
    <w:p w:rsidR="008377BB" w:rsidRPr="005B3682" w:rsidRDefault="008377BB" w:rsidP="00663863">
      <w:pPr>
        <w:pStyle w:val="Default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б) </w:t>
      </w:r>
      <w:proofErr w:type="gramStart"/>
      <w:r w:rsidRPr="005B3682">
        <w:rPr>
          <w:rFonts w:ascii="Times New Roman" w:hAnsi="Times New Roman" w:cs="Times New Roman"/>
          <w:color w:val="auto"/>
        </w:rPr>
        <w:t>наличии</w:t>
      </w:r>
      <w:proofErr w:type="gramEnd"/>
      <w:r w:rsidRPr="005B3682">
        <w:rPr>
          <w:rFonts w:ascii="Times New Roman" w:hAnsi="Times New Roman" w:cs="Times New Roman"/>
          <w:color w:val="auto"/>
        </w:rPr>
        <w:t xml:space="preserve"> полномочий контрагента на совершение данной операции; </w:t>
      </w:r>
    </w:p>
    <w:p w:rsidR="008377BB" w:rsidRPr="005B3682" w:rsidRDefault="008377BB" w:rsidP="00663863">
      <w:pPr>
        <w:pStyle w:val="Default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в) в правильности заполнения документов по сделке; </w:t>
      </w:r>
    </w:p>
    <w:p w:rsidR="006114D9" w:rsidRPr="005B3682" w:rsidRDefault="008377BB" w:rsidP="00663863">
      <w:pPr>
        <w:pStyle w:val="Default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г) </w:t>
      </w:r>
      <w:proofErr w:type="gramStart"/>
      <w:r w:rsidRPr="005B3682">
        <w:rPr>
          <w:rFonts w:ascii="Times New Roman" w:hAnsi="Times New Roman" w:cs="Times New Roman"/>
          <w:color w:val="auto"/>
        </w:rPr>
        <w:t>наличии</w:t>
      </w:r>
      <w:proofErr w:type="gramEnd"/>
      <w:r w:rsidRPr="005B3682">
        <w:rPr>
          <w:rFonts w:ascii="Times New Roman" w:hAnsi="Times New Roman" w:cs="Times New Roman"/>
          <w:color w:val="auto"/>
        </w:rPr>
        <w:t xml:space="preserve"> у лица, в пользу которого Банком приобретаются ценные бумаги, надлежащих оснований (разрешений) на их приобретение в случае, если приобретаемые ценные бумаги ограничены в обороте.</w:t>
      </w:r>
    </w:p>
    <w:p w:rsidR="008377BB" w:rsidRPr="005B3682" w:rsidRDefault="008377BB" w:rsidP="00342B68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В случаях, когда в соответствии с условиями Договора с Клиентом или иными условиями, осуществляется принудительная продажа ценных бумаг Клиента, Банк прилагает все разумные усилия для минимизации потерь Клиента. </w:t>
      </w:r>
    </w:p>
    <w:p w:rsidR="008377BB" w:rsidRPr="005B3682" w:rsidRDefault="008377BB" w:rsidP="00342B68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В случае если интересы Клиента или иные обстоятельства вынуждают Банк отступить от принципа совершения Торговых операций на Лучших условиях, Банк при получении соответствующего письменного запроса от Клиента или </w:t>
      </w:r>
      <w:proofErr w:type="spellStart"/>
      <w:r w:rsidRPr="005B3682">
        <w:rPr>
          <w:rFonts w:ascii="Times New Roman" w:hAnsi="Times New Roman" w:cs="Times New Roman"/>
          <w:color w:val="auto"/>
        </w:rPr>
        <w:t>саморегулируемой</w:t>
      </w:r>
      <w:proofErr w:type="spellEnd"/>
      <w:r w:rsidRPr="005B3682">
        <w:rPr>
          <w:rFonts w:ascii="Times New Roman" w:hAnsi="Times New Roman" w:cs="Times New Roman"/>
          <w:color w:val="auto"/>
        </w:rPr>
        <w:t xml:space="preserve"> организации, членом которой он является, обязан предоставить объяснения своих действий и подтвердить указанные обстоятельства. </w:t>
      </w:r>
    </w:p>
    <w:p w:rsidR="00663863" w:rsidRPr="005B3682" w:rsidRDefault="00663863" w:rsidP="00663863">
      <w:pPr>
        <w:pStyle w:val="Default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auto"/>
        </w:rPr>
      </w:pPr>
    </w:p>
    <w:p w:rsidR="00663863" w:rsidRPr="005B3682" w:rsidRDefault="00663863" w:rsidP="00663863">
      <w:pPr>
        <w:pStyle w:val="Default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auto"/>
        </w:rPr>
      </w:pPr>
    </w:p>
    <w:p w:rsidR="006114D9" w:rsidRPr="005B3682" w:rsidRDefault="00C45F25" w:rsidP="00C45F25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5B3682">
        <w:rPr>
          <w:rFonts w:ascii="Times New Roman" w:hAnsi="Times New Roman" w:cs="Times New Roman"/>
          <w:b/>
          <w:color w:val="auto"/>
        </w:rPr>
        <w:t xml:space="preserve">ЗАКЛЮЧИТЕЛЬНЫЕ ПОЛОЖЕНИЯ </w:t>
      </w:r>
    </w:p>
    <w:p w:rsidR="00C45F25" w:rsidRPr="005B3682" w:rsidRDefault="00C45F25" w:rsidP="00C45F25">
      <w:pPr>
        <w:pStyle w:val="Default"/>
        <w:tabs>
          <w:tab w:val="left" w:pos="284"/>
        </w:tabs>
        <w:rPr>
          <w:rFonts w:ascii="Times New Roman" w:hAnsi="Times New Roman" w:cs="Times New Roman"/>
          <w:b/>
          <w:color w:val="auto"/>
        </w:rPr>
      </w:pPr>
    </w:p>
    <w:p w:rsidR="006114D9" w:rsidRPr="005B3682" w:rsidRDefault="006114D9" w:rsidP="00342B68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Банк на постоянной основе осуществляет </w:t>
      </w:r>
      <w:proofErr w:type="gramStart"/>
      <w:r w:rsidRPr="005B3682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5B3682">
        <w:rPr>
          <w:rFonts w:ascii="Times New Roman" w:hAnsi="Times New Roman" w:cs="Times New Roman"/>
          <w:color w:val="auto"/>
        </w:rPr>
        <w:t xml:space="preserve"> исполнением настоящей Политики. </w:t>
      </w:r>
    </w:p>
    <w:p w:rsidR="006114D9" w:rsidRPr="005B3682" w:rsidRDefault="006114D9" w:rsidP="00342B68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3682">
        <w:rPr>
          <w:rFonts w:ascii="Times New Roman" w:hAnsi="Times New Roman" w:cs="Times New Roman"/>
          <w:color w:val="auto"/>
        </w:rPr>
        <w:t xml:space="preserve">Внесение изменений и/или дополнений в </w:t>
      </w:r>
      <w:r w:rsidR="00342B68" w:rsidRPr="005B3682">
        <w:rPr>
          <w:rFonts w:ascii="Times New Roman" w:hAnsi="Times New Roman" w:cs="Times New Roman"/>
          <w:color w:val="auto"/>
        </w:rPr>
        <w:t xml:space="preserve">настоящую </w:t>
      </w:r>
      <w:r w:rsidRPr="005B3682">
        <w:rPr>
          <w:rFonts w:ascii="Times New Roman" w:hAnsi="Times New Roman" w:cs="Times New Roman"/>
          <w:color w:val="auto"/>
        </w:rPr>
        <w:t xml:space="preserve">Политику производится Банком в одностороннем порядке с учетом требования законодательства Российской Федерации и </w:t>
      </w:r>
      <w:r w:rsidR="00DC3C33" w:rsidRPr="005B3682">
        <w:rPr>
          <w:rFonts w:ascii="Times New Roman" w:hAnsi="Times New Roman" w:cs="Times New Roman"/>
          <w:color w:val="auto"/>
        </w:rPr>
        <w:t>с</w:t>
      </w:r>
      <w:r w:rsidRPr="005B3682">
        <w:rPr>
          <w:rFonts w:ascii="Times New Roman" w:hAnsi="Times New Roman" w:cs="Times New Roman"/>
          <w:color w:val="auto"/>
        </w:rPr>
        <w:t xml:space="preserve">тандартов </w:t>
      </w:r>
      <w:proofErr w:type="spellStart"/>
      <w:r w:rsidRPr="005B3682">
        <w:rPr>
          <w:rFonts w:ascii="Times New Roman" w:hAnsi="Times New Roman" w:cs="Times New Roman"/>
          <w:color w:val="auto"/>
        </w:rPr>
        <w:t>саморегулируемой</w:t>
      </w:r>
      <w:proofErr w:type="spellEnd"/>
      <w:r w:rsidRPr="005B3682">
        <w:rPr>
          <w:rFonts w:ascii="Times New Roman" w:hAnsi="Times New Roman" w:cs="Times New Roman"/>
          <w:color w:val="auto"/>
        </w:rPr>
        <w:t xml:space="preserve"> организации, </w:t>
      </w:r>
      <w:r w:rsidR="00DC3C33" w:rsidRPr="005B3682">
        <w:rPr>
          <w:rFonts w:ascii="Times New Roman" w:hAnsi="Times New Roman" w:cs="Times New Roman"/>
          <w:color w:val="auto"/>
        </w:rPr>
        <w:t xml:space="preserve"> обязател</w:t>
      </w:r>
      <w:r w:rsidR="007F2D3F" w:rsidRPr="005B3682">
        <w:rPr>
          <w:rFonts w:ascii="Times New Roman" w:hAnsi="Times New Roman" w:cs="Times New Roman"/>
          <w:color w:val="auto"/>
        </w:rPr>
        <w:t>ь</w:t>
      </w:r>
      <w:r w:rsidR="00DC3C33" w:rsidRPr="005B3682">
        <w:rPr>
          <w:rFonts w:ascii="Times New Roman" w:hAnsi="Times New Roman" w:cs="Times New Roman"/>
          <w:color w:val="auto"/>
        </w:rPr>
        <w:t>ных для исполнения всеми профессиональными участниками рынка ценных бумаг</w:t>
      </w:r>
      <w:r w:rsidRPr="005B3682">
        <w:rPr>
          <w:rFonts w:ascii="Times New Roman" w:hAnsi="Times New Roman" w:cs="Times New Roman"/>
          <w:color w:val="auto"/>
        </w:rPr>
        <w:t xml:space="preserve">. </w:t>
      </w:r>
    </w:p>
    <w:p w:rsidR="00FD4B0A" w:rsidRPr="005B3682" w:rsidRDefault="00342B68" w:rsidP="00342B68">
      <w:pPr>
        <w:pStyle w:val="a5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5B3682">
        <w:rPr>
          <w:sz w:val="24"/>
          <w:szCs w:val="24"/>
        </w:rPr>
        <w:t xml:space="preserve">Настоящая </w:t>
      </w:r>
      <w:r w:rsidR="006114D9" w:rsidRPr="005B3682">
        <w:rPr>
          <w:sz w:val="24"/>
          <w:szCs w:val="24"/>
        </w:rPr>
        <w:t xml:space="preserve">Политика, а также изменения и дополнения к ней раскрываются Банком </w:t>
      </w:r>
      <w:r w:rsidR="00C45F25" w:rsidRPr="005B3682">
        <w:rPr>
          <w:sz w:val="24"/>
          <w:szCs w:val="24"/>
        </w:rPr>
        <w:t xml:space="preserve">в сети Интернет </w:t>
      </w:r>
      <w:r w:rsidR="006114D9" w:rsidRPr="005B3682">
        <w:rPr>
          <w:sz w:val="24"/>
          <w:szCs w:val="24"/>
        </w:rPr>
        <w:t xml:space="preserve">на </w:t>
      </w:r>
      <w:r w:rsidR="00C45F25" w:rsidRPr="005B3682">
        <w:rPr>
          <w:sz w:val="24"/>
          <w:szCs w:val="24"/>
        </w:rPr>
        <w:t xml:space="preserve">официальном </w:t>
      </w:r>
      <w:r w:rsidR="006114D9" w:rsidRPr="005B3682">
        <w:rPr>
          <w:sz w:val="24"/>
          <w:szCs w:val="24"/>
        </w:rPr>
        <w:t xml:space="preserve">сайте </w:t>
      </w:r>
      <w:hyperlink r:id="rId8" w:history="1">
        <w:r w:rsidR="00C45F25" w:rsidRPr="005B3682">
          <w:rPr>
            <w:rStyle w:val="a6"/>
            <w:b/>
            <w:sz w:val="24"/>
            <w:szCs w:val="24"/>
          </w:rPr>
          <w:t>http://www.bankrmp.ru/</w:t>
        </w:r>
      </w:hyperlink>
      <w:r w:rsidR="00C45F25" w:rsidRPr="005B3682">
        <w:rPr>
          <w:sz w:val="24"/>
          <w:szCs w:val="24"/>
        </w:rPr>
        <w:t>.</w:t>
      </w:r>
    </w:p>
    <w:sectPr w:rsidR="00FD4B0A" w:rsidRPr="005B3682" w:rsidSect="00C45F25">
      <w:footerReference w:type="default" r:id="rId9"/>
      <w:footnotePr>
        <w:numRestart w:val="eachPage"/>
      </w:footnotePr>
      <w:pgSz w:w="11907" w:h="16834" w:code="9"/>
      <w:pgMar w:top="1134" w:right="567" w:bottom="1134" w:left="1134" w:header="425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9B" w:rsidRDefault="00445B9B" w:rsidP="00C45F25">
      <w:pPr>
        <w:spacing w:line="240" w:lineRule="auto"/>
      </w:pPr>
      <w:r>
        <w:separator/>
      </w:r>
    </w:p>
  </w:endnote>
  <w:endnote w:type="continuationSeparator" w:id="0">
    <w:p w:rsidR="00445B9B" w:rsidRDefault="00445B9B" w:rsidP="00C45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4788"/>
      <w:docPartObj>
        <w:docPartGallery w:val="Page Numbers (Bottom of Page)"/>
        <w:docPartUnique/>
      </w:docPartObj>
    </w:sdtPr>
    <w:sdtContent>
      <w:p w:rsidR="00C45F25" w:rsidRDefault="00CA25CA">
        <w:pPr>
          <w:pStyle w:val="a9"/>
          <w:jc w:val="right"/>
        </w:pPr>
        <w:fldSimple w:instr=" PAGE   \* MERGEFORMAT ">
          <w:r w:rsidR="005B3682">
            <w:rPr>
              <w:noProof/>
            </w:rPr>
            <w:t>4</w:t>
          </w:r>
        </w:fldSimple>
      </w:p>
    </w:sdtContent>
  </w:sdt>
  <w:p w:rsidR="00C45F25" w:rsidRDefault="00C45F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9B" w:rsidRDefault="00445B9B" w:rsidP="00C45F25">
      <w:pPr>
        <w:spacing w:line="240" w:lineRule="auto"/>
      </w:pPr>
      <w:r>
        <w:separator/>
      </w:r>
    </w:p>
  </w:footnote>
  <w:footnote w:type="continuationSeparator" w:id="0">
    <w:p w:rsidR="00445B9B" w:rsidRDefault="00445B9B" w:rsidP="00C45F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B46"/>
    <w:multiLevelType w:val="multilevel"/>
    <w:tmpl w:val="54D02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4444BD"/>
    <w:multiLevelType w:val="hybridMultilevel"/>
    <w:tmpl w:val="9438BA2E"/>
    <w:lvl w:ilvl="0" w:tplc="7068CD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EE58FC"/>
    <w:multiLevelType w:val="hybridMultilevel"/>
    <w:tmpl w:val="2C3A31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4257206"/>
    <w:multiLevelType w:val="multilevel"/>
    <w:tmpl w:val="4880B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6114D9"/>
    <w:rsid w:val="000024A0"/>
    <w:rsid w:val="001625EA"/>
    <w:rsid w:val="0019143B"/>
    <w:rsid w:val="001A7159"/>
    <w:rsid w:val="001F329B"/>
    <w:rsid w:val="0029029E"/>
    <w:rsid w:val="00325066"/>
    <w:rsid w:val="00342B68"/>
    <w:rsid w:val="00445B9B"/>
    <w:rsid w:val="00461A28"/>
    <w:rsid w:val="004A76D5"/>
    <w:rsid w:val="005128C4"/>
    <w:rsid w:val="0051771D"/>
    <w:rsid w:val="005A4060"/>
    <w:rsid w:val="005B3682"/>
    <w:rsid w:val="005F5534"/>
    <w:rsid w:val="006114D9"/>
    <w:rsid w:val="00663863"/>
    <w:rsid w:val="006E09D8"/>
    <w:rsid w:val="00746649"/>
    <w:rsid w:val="007B178A"/>
    <w:rsid w:val="007F2D3F"/>
    <w:rsid w:val="00805F02"/>
    <w:rsid w:val="00813248"/>
    <w:rsid w:val="008377BB"/>
    <w:rsid w:val="00880CA5"/>
    <w:rsid w:val="00957167"/>
    <w:rsid w:val="009818E5"/>
    <w:rsid w:val="00A050D1"/>
    <w:rsid w:val="00A3507C"/>
    <w:rsid w:val="00A70674"/>
    <w:rsid w:val="00AB4E7D"/>
    <w:rsid w:val="00B0345E"/>
    <w:rsid w:val="00B71345"/>
    <w:rsid w:val="00C45F25"/>
    <w:rsid w:val="00C94395"/>
    <w:rsid w:val="00C948F0"/>
    <w:rsid w:val="00CA06FB"/>
    <w:rsid w:val="00CA25CA"/>
    <w:rsid w:val="00DB662A"/>
    <w:rsid w:val="00DC3C33"/>
    <w:rsid w:val="00E61B8B"/>
    <w:rsid w:val="00E85A5C"/>
    <w:rsid w:val="00F246F4"/>
    <w:rsid w:val="00F57036"/>
    <w:rsid w:val="00F97EBF"/>
    <w:rsid w:val="00FD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D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4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77BB"/>
    <w:pPr>
      <w:ind w:left="720"/>
      <w:contextualSpacing/>
    </w:pPr>
  </w:style>
  <w:style w:type="paragraph" w:customStyle="1" w:styleId="ConsPlusNormal">
    <w:name w:val="ConsPlusNormal"/>
    <w:link w:val="ConsPlusNormalChar"/>
    <w:rsid w:val="001F3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 Char"/>
    <w:basedOn w:val="a0"/>
    <w:link w:val="ConsPlusNormal"/>
    <w:locked/>
    <w:rsid w:val="001F329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45F2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45F2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5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5F2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бычны"/>
    <w:rsid w:val="005A40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D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4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7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БАНКЕ РМП (ПАО)</vt:lpstr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Алена Владимировна</dc:creator>
  <cp:lastModifiedBy>metodboss</cp:lastModifiedBy>
  <cp:revision>10</cp:revision>
  <cp:lastPrinted>2019-05-31T11:16:00Z</cp:lastPrinted>
  <dcterms:created xsi:type="dcterms:W3CDTF">2019-05-23T08:56:00Z</dcterms:created>
  <dcterms:modified xsi:type="dcterms:W3CDTF">2019-05-31T11:17:00Z</dcterms:modified>
</cp:coreProperties>
</file>